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A06A2C"/>
          <w:sz w:val="36"/>
        </w:rPr>
        <w:t>HAWKSWIFT LTD  —  RAMS</w:t>
      </w:r>
    </w:p>
    <w:p>
      <w:r>
        <w:rPr>
          <w:color w:val="0D0F12"/>
          <w:sz w:val="22"/>
        </w:rPr>
        <w:t>Risk Assessment &amp; Method Statement</w:t>
      </w:r>
    </w:p>
    <w:p>
      <w:pPr>
        <w:spacing w:before="200" w:after="80"/>
      </w:pPr>
      <w:r>
        <w:rPr>
          <w:b/>
          <w:color w:val="A06A2C"/>
          <w:sz w:val="30"/>
        </w:rPr>
        <w:t>Beam &amp; Lintel Installation</w:t>
      </w:r>
    </w:p>
    <w:p>
      <w:r>
        <w:rPr>
          <w:i/>
        </w:rPr>
        <w:t>Trade category: steel</w:t>
      </w:r>
    </w:p>
    <w:p>
      <w:pPr>
        <w:spacing w:before="200" w:after="80"/>
      </w:pPr>
      <w:r>
        <w:rPr>
          <w:b/>
          <w:color w:val="A06A2C"/>
          <w:sz w:val="28"/>
        </w:rPr>
        <w:t>1. Document Control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Document ref</w:t>
            </w:r>
          </w:p>
        </w:tc>
        <w:tc>
          <w:tcPr>
            <w:tcW w:type="dxa" w:w="4320"/>
          </w:tcPr>
          <w:p>
            <w:r>
              <w:t>HS-RAMS-83</w:t>
            </w:r>
          </w:p>
        </w:tc>
      </w:tr>
      <w:tr>
        <w:tc>
          <w:tcPr>
            <w:tcW w:type="dxa" w:w="4320"/>
          </w:tcPr>
          <w:p>
            <w:r>
              <w:t>Version</w:t>
            </w:r>
          </w:p>
        </w:tc>
        <w:tc>
          <w:tcPr>
            <w:tcW w:type="dxa" w:w="4320"/>
          </w:tcPr>
          <w:p>
            <w:r>
              <w:t>1.0 (draft — pending Chris Banks sign-off)</w:t>
            </w:r>
          </w:p>
        </w:tc>
      </w:tr>
      <w:tr>
        <w:tc>
          <w:tcPr>
            <w:tcW w:type="dxa" w:w="4320"/>
          </w:tcPr>
          <w:p>
            <w:r>
              <w:t>Prepared by</w:t>
            </w:r>
          </w:p>
        </w:tc>
        <w:tc>
          <w:tcPr>
            <w:tcW w:type="dxa" w:w="4320"/>
          </w:tcPr>
          <w:p>
            <w:r>
              <w:t>HawkSwift Ltd</w:t>
            </w:r>
          </w:p>
        </w:tc>
      </w:tr>
      <w:tr>
        <w:tc>
          <w:tcPr>
            <w:tcW w:type="dxa" w:w="4320"/>
          </w:tcPr>
          <w:p>
            <w:r>
              <w:t>Reviewed by</w:t>
            </w:r>
          </w:p>
        </w:tc>
        <w:tc>
          <w:tcPr>
            <w:tcW w:type="dxa" w:w="4320"/>
          </w:tcPr>
          <w:p>
            <w:r>
              <w:t>Chris Banks (Commercial Director, NEBOSH Construction)</w:t>
            </w:r>
          </w:p>
        </w:tc>
      </w:tr>
      <w:tr>
        <w:tc>
          <w:tcPr>
            <w:tcW w:type="dxa" w:w="4320"/>
          </w:tcPr>
          <w:p>
            <w:r>
              <w:t>Date</w:t>
            </w:r>
          </w:p>
        </w:tc>
        <w:tc>
          <w:tcPr>
            <w:tcW w:type="dxa" w:w="4320"/>
          </w:tcPr>
          <w:p>
            <w:r>
              <w:t>2026-08-14</w:t>
            </w:r>
          </w:p>
        </w:tc>
      </w:tr>
      <w:tr>
        <w:tc>
          <w:tcPr>
            <w:tcW w:type="dxa" w:w="4320"/>
          </w:tcPr>
          <w:p>
            <w:r>
              <w:t>Scope</w:t>
            </w:r>
          </w:p>
        </w:tc>
        <w:tc>
          <w:tcPr>
            <w:tcW w:type="dxa" w:w="4320"/>
          </w:tcPr>
          <w:p>
            <w:r>
              <w:t>Beam &amp; Lintel Installation — England &amp; Wales</w:t>
            </w:r>
          </w:p>
        </w:tc>
      </w:tr>
      <w:tr>
        <w:tc>
          <w:tcPr>
            <w:tcW w:type="dxa" w:w="4320"/>
          </w:tcPr>
          <w:p>
            <w:r>
              <w:t>Standard</w:t>
            </w:r>
          </w:p>
        </w:tc>
        <w:tc>
          <w:tcPr>
            <w:tcW w:type="dxa" w:w="4320"/>
          </w:tcPr>
          <w:p>
            <w:r>
              <w:t>PAS 79-1:2020 aligned; RRO 2005 / CDM 2015 aware</w:t>
            </w:r>
          </w:p>
        </w:tc>
      </w:tr>
    </w:tbl>
    <w:p>
      <w:pPr>
        <w:spacing w:before="200" w:after="80"/>
      </w:pPr>
      <w:r>
        <w:rPr>
          <w:b/>
          <w:color w:val="A06A2C"/>
          <w:sz w:val="28"/>
        </w:rPr>
        <w:t>2. Risk Assessment — Hazard Identification &amp; Rating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t>Hazard</w:t>
            </w:r>
          </w:p>
        </w:tc>
        <w:tc>
          <w:tcPr>
            <w:tcW w:type="dxa" w:w="2160"/>
          </w:tcPr>
          <w:p>
            <w:r>
              <w:t>Who is at risk</w:t>
            </w:r>
          </w:p>
        </w:tc>
        <w:tc>
          <w:tcPr>
            <w:tcW w:type="dxa" w:w="2160"/>
          </w:tcPr>
          <w:p>
            <w:r>
              <w:t>Risk (L/M/H)</w:t>
            </w:r>
          </w:p>
        </w:tc>
        <w:tc>
          <w:tcPr>
            <w:tcW w:type="dxa" w:w="2160"/>
          </w:tcPr>
          <w:p>
            <w:r>
              <w:t>Existing control</w:t>
            </w:r>
          </w:p>
        </w:tc>
      </w:tr>
      <w:tr>
        <w:tc>
          <w:tcPr>
            <w:tcW w:type="dxa" w:w="2160"/>
          </w:tcPr>
          <w:p>
            <w:r>
              <w:t>Slips, trips &amp; falls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Manual handling injury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Contact with plant / tools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Dust &amp; respiratory exposure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Fire / hot works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</w:tbl>
    <w:p>
      <w:pPr>
        <w:spacing w:before="200" w:after="80"/>
      </w:pPr>
      <w:r>
        <w:rPr>
          <w:b/>
          <w:color w:val="A06A2C"/>
          <w:sz w:val="28"/>
        </w:rPr>
        <w:t>3. Method Statement — Control Measures &amp; PPE</w:t>
      </w:r>
    </w:p>
    <w:p>
      <w:pPr>
        <w:pStyle w:val="ListNumber"/>
      </w:pPr>
      <w:r>
        <w:t>1. Plan &amp; segregate the work area; appoint a competent person.</w:t>
      </w:r>
    </w:p>
    <w:p>
      <w:pPr>
        <w:pStyle w:val="ListNumber"/>
      </w:pPr>
      <w:r>
        <w:t>2. Issue task-specific PPE (helmets, gloves, eye/foot protection, harness where at height).</w:t>
      </w:r>
    </w:p>
    <w:p>
      <w:pPr>
        <w:pStyle w:val="ListNumber"/>
      </w:pPr>
      <w:r>
        <w:t>3. Carry out the task using the agreed safe system of work.</w:t>
      </w:r>
    </w:p>
    <w:p>
      <w:pPr>
        <w:pStyle w:val="ListNumber"/>
      </w:pPr>
      <w:r>
        <w:t>4. Housekeeping: secure materials, manage leading edges, control dust/footprint.</w:t>
      </w:r>
    </w:p>
    <w:p>
      <w:pPr>
        <w:pStyle w:val="ListNumber"/>
      </w:pPr>
      <w:r>
        <w:t>5. Inspect on completion; record and report.</w:t>
      </w:r>
    </w:p>
    <w:p>
      <w:pPr>
        <w:spacing w:before="200" w:after="80"/>
      </w:pPr>
      <w:r>
        <w:rPr>
          <w:b/>
          <w:color w:val="A06A2C"/>
          <w:sz w:val="28"/>
        </w:rPr>
        <w:t>4. Emergency Arrangements</w:t>
      </w:r>
    </w:p>
    <w:p>
      <w:r>
        <w:t>First-aid provision on site; emergency contact 999; incident reported to HawkSwift and recorded in the accident book. Stop work if conditions become unsafe.</w:t>
      </w:r>
    </w:p>
    <w:p>
      <w:pPr>
        <w:spacing w:before="200" w:after="80"/>
      </w:pPr>
      <w:r>
        <w:rPr>
          <w:b/>
          <w:color w:val="A06A2C"/>
          <w:sz w:val="28"/>
        </w:rPr>
        <w:t>5. Competent-Person Sign-Off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Assessor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Signature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Date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HawkSwift approval (Chris Banks)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</w:tbl>
    <w:p/>
    <w:p>
      <w:r>
        <w:rPr>
          <w:i/>
          <w:color w:val="8A8F94"/>
          <w:sz w:val="18"/>
        </w:rPr>
        <w:t>This RAMS template is provided by HawkSwift Ltd for customisation. It is a draft until reviewed and signed off by a competent person. Not for sale until approved.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0D0F12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